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9B7270">
      <w:pPr>
        <w:jc w:val="center"/>
        <w:rPr>
          <w:rFonts w:hint="eastAsia"/>
          <w:b/>
          <w:color w:val="FF0000"/>
          <w:spacing w:val="40"/>
          <w:w w:val="50"/>
          <w:kern w:val="72"/>
          <w:position w:val="-6"/>
          <w:sz w:val="100"/>
        </w:rPr>
      </w:pPr>
      <w:r>
        <w:rPr>
          <w:rFonts w:hint="eastAsia" w:ascii="宋体" w:hAnsi="宋体"/>
          <w:b/>
          <w:color w:val="FF0000"/>
          <w:spacing w:val="40"/>
          <w:w w:val="50"/>
          <w:kern w:val="72"/>
          <w:position w:val="-6"/>
          <w:sz w:val="100"/>
        </w:rPr>
        <w:t>徐工职院工商管理学院</w:t>
      </w:r>
    </w:p>
    <w:p w14:paraId="0CFC1EAD">
      <w:pPr>
        <w:pStyle w:val="2"/>
        <w:adjustRightInd w:val="0"/>
        <w:snapToGrid w:val="0"/>
        <w:spacing w:line="540" w:lineRule="exact"/>
        <w:ind w:left="0" w:right="-50"/>
        <w:rPr>
          <w:rFonts w:hint="default" w:ascii="楷体_GB2312" w:eastAsia="楷体_GB2312"/>
          <w:sz w:val="13"/>
          <w:lang w:val="en-US" w:eastAsia="zh-CN"/>
        </w:rPr>
      </w:pPr>
      <w:r>
        <w:rPr>
          <w:rFonts w:ascii="Times New Roman" w:hAnsi="Times New Roman" w:eastAsia="仿宋" w:cs="Times New Roman"/>
          <w:sz w:val="28"/>
          <w:szCs w:val="28"/>
          <w:lang w:eastAsia="zh-CN"/>
        </w:rPr>
        <w:t>工商</w:t>
      </w:r>
      <w:r>
        <w:rPr>
          <w:rFonts w:hint="eastAsia" w:ascii="Times New Roman" w:hAnsi="Times New Roman" w:eastAsia="仿宋" w:cs="Times New Roman"/>
          <w:sz w:val="28"/>
          <w:szCs w:val="28"/>
          <w:lang w:val="en-US" w:eastAsia="zh-CN"/>
        </w:rPr>
        <w:t>管理学院发</w:t>
      </w:r>
      <w:r>
        <w:rPr>
          <w:rFonts w:ascii="Times New Roman" w:hAnsi="Times New Roman" w:eastAsia="仿宋" w:cs="Times New Roman"/>
          <w:sz w:val="28"/>
          <w:szCs w:val="28"/>
          <w:lang w:eastAsia="zh-CN"/>
        </w:rPr>
        <w:t>〔20</w:t>
      </w:r>
      <w:r>
        <w:rPr>
          <w:rFonts w:hint="eastAsia" w:ascii="Times New Roman" w:hAnsi="Times New Roman" w:eastAsia="仿宋" w:cs="Times New Roman"/>
          <w:sz w:val="28"/>
          <w:szCs w:val="28"/>
          <w:lang w:eastAsia="zh-CN"/>
        </w:rPr>
        <w:t>2</w:t>
      </w:r>
      <w:r>
        <w:rPr>
          <w:rFonts w:hint="eastAsia" w:ascii="Times New Roman" w:hAnsi="Times New Roman" w:eastAsia="仿宋" w:cs="Times New Roman"/>
          <w:sz w:val="28"/>
          <w:szCs w:val="28"/>
          <w:lang w:val="en-US" w:eastAsia="zh-CN"/>
        </w:rPr>
        <w:t>4</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0</w:t>
      </w:r>
      <w:r>
        <w:rPr>
          <w:rFonts w:hint="eastAsia" w:ascii="Times New Roman" w:hAnsi="Times New Roman" w:eastAsia="仿宋" w:cs="Times New Roman"/>
          <w:sz w:val="28"/>
          <w:szCs w:val="28"/>
          <w:lang w:val="en-US" w:eastAsia="zh-CN"/>
        </w:rPr>
        <w:t xml:space="preserve">4 </w:t>
      </w:r>
      <w:r>
        <w:rPr>
          <w:rFonts w:ascii="Times New Roman" w:hAnsi="Times New Roman" w:eastAsia="仿宋" w:cs="Times New Roman"/>
          <w:sz w:val="28"/>
          <w:szCs w:val="28"/>
          <w:lang w:eastAsia="zh-CN"/>
        </w:rPr>
        <w:t>号</w:t>
      </w:r>
    </w:p>
    <w:p w14:paraId="5B0DBA89">
      <w:pPr>
        <w:ind w:firstLine="360" w:firstLineChars="100"/>
        <w:jc w:val="center"/>
        <w:rPr>
          <w:rFonts w:hint="default"/>
          <w:sz w:val="36"/>
        </w:rPr>
      </w:pPr>
      <w:r>
        <w:rPr>
          <w:rFonts w:hint="default"/>
          <w:sz w:val="36"/>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62230</wp:posOffset>
                </wp:positionV>
                <wp:extent cx="5829300" cy="38735"/>
                <wp:effectExtent l="4445" t="4445" r="18415" b="17780"/>
                <wp:wrapNone/>
                <wp:docPr id="1" name="Text Box 6"/>
                <wp:cNvGraphicFramePr/>
                <a:graphic xmlns:a="http://schemas.openxmlformats.org/drawingml/2006/main">
                  <a:graphicData uri="http://schemas.microsoft.com/office/word/2010/wordprocessingShape">
                    <wps:wsp>
                      <wps:cNvSpPr txBox="1"/>
                      <wps:spPr>
                        <a:xfrm>
                          <a:off x="0" y="0"/>
                          <a:ext cx="5829300" cy="38735"/>
                        </a:xfrm>
                        <a:prstGeom prst="rect">
                          <a:avLst/>
                        </a:prstGeom>
                        <a:solidFill>
                          <a:srgbClr val="FF0000"/>
                        </a:solidFill>
                        <a:ln w="9525" cap="flat" cmpd="sng">
                          <a:solidFill>
                            <a:srgbClr val="FF0000"/>
                          </a:solidFill>
                          <a:prstDash val="solid"/>
                          <a:miter/>
                          <a:headEnd type="none" w="med" len="med"/>
                          <a:tailEnd type="none" w="med" len="med"/>
                        </a:ln>
                      </wps:spPr>
                      <wps:txbx>
                        <w:txbxContent>
                          <w:p w14:paraId="030A5156">
                            <w:pPr>
                              <w:spacing w:line="40" w:lineRule="exact"/>
                              <w:rPr>
                                <w:rFonts w:hint="default"/>
                                <w:sz w:val="21"/>
                              </w:rPr>
                            </w:pPr>
                          </w:p>
                        </w:txbxContent>
                      </wps:txbx>
                      <wps:bodyPr wrap="square" upright="1"/>
                    </wps:wsp>
                  </a:graphicData>
                </a:graphic>
              </wp:anchor>
            </w:drawing>
          </mc:Choice>
          <mc:Fallback>
            <w:pict>
              <v:shape id="Text Box 6" o:spid="_x0000_s1026" o:spt="202" type="#_x0000_t202" style="position:absolute;left:0pt;margin-left:-6.75pt;margin-top:4.9pt;height:3.05pt;width:459pt;z-index:251659264;mso-width-relative:page;mso-height-relative:page;" fillcolor="#FF0000" filled="t" stroked="t" coordsize="21600,21600" o:gfxdata="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6zXNtYAAAAIAQAADwAAAAAAAAABACAAAAAiAAAAZHJzL2Rvd25y&#10;ZXYueG1sUEsBAhQAFAAAAAgAh07iQKD+yZkAAgAAQgQAAA4AAAAAAAAAAQAgAAAAJQEAAGRycy9l&#10;Mm9Eb2MueG1sUEsFBgAAAAAGAAYAWQEAAJcFAAAAAA==&#10;">
                <v:fill on="t" focussize="0,0"/>
                <v:stroke color="#FF0000" joinstyle="miter"/>
                <v:imagedata o:title=""/>
                <o:lock v:ext="edit" aspectratio="f"/>
                <v:textbox>
                  <w:txbxContent>
                    <w:p w14:paraId="030A5156">
                      <w:pPr>
                        <w:spacing w:line="40" w:lineRule="exact"/>
                        <w:rPr>
                          <w:rFonts w:hint="default"/>
                          <w:sz w:val="21"/>
                        </w:rPr>
                      </w:pPr>
                    </w:p>
                  </w:txbxContent>
                </v:textbox>
              </v:shape>
            </w:pict>
          </mc:Fallback>
        </mc:AlternateContent>
      </w:r>
    </w:p>
    <w:p w14:paraId="4E5E1F67">
      <w:pPr>
        <w:adjustRightInd w:val="0"/>
        <w:snapToGrid w:val="0"/>
        <w:spacing w:line="360" w:lineRule="auto"/>
        <w:jc w:val="center"/>
        <w:rPr>
          <w:rFonts w:hint="eastAsia" w:ascii="方正公文小标宋" w:hAnsi="方正公文小标宋" w:eastAsia="方正公文小标宋" w:cs="方正公文小标宋"/>
          <w:b w:val="0"/>
          <w:bCs/>
          <w:sz w:val="44"/>
          <w:szCs w:val="44"/>
          <w:lang w:eastAsia="zh-CN"/>
        </w:rPr>
      </w:pPr>
      <w:r>
        <w:rPr>
          <w:rFonts w:hint="eastAsia" w:ascii="方正公文小标宋" w:hAnsi="方正公文小标宋" w:eastAsia="方正公文小标宋" w:cs="方正公文小标宋"/>
          <w:b w:val="0"/>
          <w:bCs/>
          <w:sz w:val="44"/>
          <w:szCs w:val="44"/>
        </w:rPr>
        <w:t>教师教学质量考核办法</w:t>
      </w:r>
      <w:r>
        <w:rPr>
          <w:rFonts w:hint="eastAsia" w:ascii="方正公文小标宋" w:hAnsi="方正公文小标宋" w:eastAsia="方正公文小标宋" w:cs="方正公文小标宋"/>
          <w:b w:val="0"/>
          <w:bCs/>
          <w:sz w:val="44"/>
          <w:szCs w:val="44"/>
          <w:lang w:eastAsia="zh-CN"/>
        </w:rPr>
        <w:t>（</w:t>
      </w:r>
      <w:r>
        <w:rPr>
          <w:rFonts w:hint="eastAsia" w:ascii="方正公文小标宋" w:hAnsi="方正公文小标宋" w:eastAsia="方正公文小标宋" w:cs="方正公文小标宋"/>
          <w:b w:val="0"/>
          <w:bCs/>
          <w:sz w:val="44"/>
          <w:szCs w:val="44"/>
          <w:lang w:val="en-US" w:eastAsia="zh-CN"/>
        </w:rPr>
        <w:t>2024年修订</w:t>
      </w:r>
      <w:r>
        <w:rPr>
          <w:rFonts w:hint="eastAsia" w:ascii="方正公文小标宋" w:hAnsi="方正公文小标宋" w:eastAsia="方正公文小标宋" w:cs="方正公文小标宋"/>
          <w:b w:val="0"/>
          <w:bCs/>
          <w:sz w:val="44"/>
          <w:szCs w:val="44"/>
          <w:lang w:eastAsia="zh-CN"/>
        </w:rPr>
        <w:t>）</w:t>
      </w:r>
    </w:p>
    <w:p w14:paraId="748DE4B8">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rPr>
        <w:t>为了更好的规范教学秩序，发挥教研室的团队合作，工商管理学院教学质量考核细则制定如下：</w:t>
      </w:r>
    </w:p>
    <w:p w14:paraId="5C537C43">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rPr>
        <w:t>院系考核总分为100分</w:t>
      </w:r>
      <w:r>
        <w:rPr>
          <w:rFonts w:hint="eastAsia" w:ascii="仿宋" w:hAnsi="仿宋" w:eastAsia="仿宋"/>
          <w:sz w:val="28"/>
          <w:lang w:eastAsia="zh-CN"/>
        </w:rPr>
        <w:t>（</w:t>
      </w:r>
      <w:r>
        <w:rPr>
          <w:rFonts w:hint="eastAsia" w:ascii="仿宋" w:hAnsi="仿宋" w:eastAsia="仿宋"/>
          <w:sz w:val="28"/>
          <w:lang w:val="en-US" w:eastAsia="zh-CN"/>
        </w:rPr>
        <w:t>教学资料90分，教学业绩10分</w:t>
      </w:r>
      <w:r>
        <w:rPr>
          <w:rFonts w:hint="eastAsia" w:ascii="仿宋" w:hAnsi="仿宋" w:eastAsia="仿宋"/>
          <w:sz w:val="28"/>
          <w:lang w:eastAsia="zh-CN"/>
        </w:rPr>
        <w:t>）</w:t>
      </w:r>
      <w:r>
        <w:rPr>
          <w:rFonts w:hint="eastAsia" w:ascii="仿宋" w:hAnsi="仿宋" w:eastAsia="仿宋"/>
          <w:sz w:val="28"/>
        </w:rPr>
        <w:t>。</w:t>
      </w:r>
    </w:p>
    <w:p w14:paraId="0436A7B5">
      <w:pPr>
        <w:adjustRightInd w:val="0"/>
        <w:snapToGrid w:val="0"/>
        <w:spacing w:line="360" w:lineRule="auto"/>
        <w:ind w:firstLine="560" w:firstLineChars="200"/>
        <w:rPr>
          <w:rFonts w:hint="default" w:ascii="仿宋" w:hAnsi="仿宋" w:eastAsia="仿宋"/>
          <w:sz w:val="28"/>
          <w:lang w:val="en-US" w:eastAsia="zh-CN"/>
        </w:rPr>
      </w:pPr>
      <w:r>
        <w:rPr>
          <w:rFonts w:hint="eastAsia" w:ascii="仿宋" w:hAnsi="仿宋" w:eastAsia="仿宋"/>
          <w:sz w:val="28"/>
          <w:lang w:val="en-US" w:eastAsia="zh-CN"/>
        </w:rPr>
        <w:t>一、教学资料</w:t>
      </w:r>
    </w:p>
    <w:p w14:paraId="210DDADB">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1</w:t>
      </w:r>
      <w:r>
        <w:rPr>
          <w:rFonts w:hint="eastAsia" w:ascii="仿宋" w:hAnsi="仿宋" w:eastAsia="仿宋"/>
          <w:sz w:val="28"/>
        </w:rPr>
        <w:t>、教学检查（</w:t>
      </w:r>
      <w:r>
        <w:rPr>
          <w:rFonts w:hint="eastAsia" w:ascii="仿宋" w:hAnsi="仿宋" w:eastAsia="仿宋"/>
          <w:sz w:val="28"/>
          <w:lang w:val="en-US" w:eastAsia="zh-CN"/>
        </w:rPr>
        <w:t>期初、期末</w:t>
      </w:r>
      <w:r>
        <w:rPr>
          <w:rFonts w:hint="eastAsia" w:ascii="仿宋" w:hAnsi="仿宋" w:eastAsia="仿宋"/>
          <w:sz w:val="28"/>
        </w:rPr>
        <w:t>抽查）中每出现一处问题，扣</w:t>
      </w:r>
      <w:r>
        <w:rPr>
          <w:rFonts w:hint="eastAsia" w:ascii="仿宋" w:hAnsi="仿宋" w:eastAsia="仿宋"/>
          <w:sz w:val="28"/>
          <w:lang w:val="en-US" w:eastAsia="zh-CN"/>
        </w:rPr>
        <w:t>2</w:t>
      </w:r>
      <w:r>
        <w:rPr>
          <w:rFonts w:hint="eastAsia" w:ascii="仿宋" w:hAnsi="仿宋" w:eastAsia="仿宋"/>
          <w:sz w:val="28"/>
        </w:rPr>
        <w:t>分</w:t>
      </w:r>
      <w:r>
        <w:rPr>
          <w:rFonts w:hint="eastAsia" w:ascii="仿宋" w:hAnsi="仿宋" w:eastAsia="仿宋"/>
          <w:sz w:val="28"/>
          <w:lang w:eastAsia="zh-CN"/>
        </w:rPr>
        <w:t>，</w:t>
      </w:r>
      <w:r>
        <w:rPr>
          <w:rFonts w:hint="eastAsia" w:ascii="仿宋" w:hAnsi="仿宋" w:eastAsia="仿宋"/>
          <w:sz w:val="28"/>
          <w:lang w:val="en-US" w:eastAsia="zh-CN"/>
        </w:rPr>
        <w:t>情节严重者</w:t>
      </w:r>
      <w:r>
        <w:rPr>
          <w:rFonts w:hint="eastAsia" w:ascii="仿宋" w:hAnsi="仿宋" w:eastAsia="仿宋"/>
          <w:sz w:val="28"/>
        </w:rPr>
        <w:t>取消本学期教学评优资格。</w:t>
      </w:r>
    </w:p>
    <w:p w14:paraId="6D0EEA9A">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2</w:t>
      </w:r>
      <w:r>
        <w:rPr>
          <w:rFonts w:hint="eastAsia" w:ascii="仿宋" w:hAnsi="仿宋" w:eastAsia="仿宋"/>
          <w:sz w:val="28"/>
        </w:rPr>
        <w:t>、根据教务处管理规定，</w:t>
      </w:r>
      <w:r>
        <w:rPr>
          <w:rFonts w:hint="eastAsia" w:ascii="仿宋" w:hAnsi="仿宋" w:eastAsia="仿宋"/>
          <w:sz w:val="28"/>
          <w:lang w:val="en-US" w:eastAsia="zh-CN"/>
        </w:rPr>
        <w:t>因私</w:t>
      </w:r>
      <w:r>
        <w:rPr>
          <w:rFonts w:hint="eastAsia" w:ascii="仿宋" w:hAnsi="仿宋" w:eastAsia="仿宋"/>
          <w:sz w:val="28"/>
        </w:rPr>
        <w:t>调课次数每学期不能超过三次，私自调课者取消本学期教学评优资格。</w:t>
      </w:r>
    </w:p>
    <w:p w14:paraId="2708EDE0">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3</w:t>
      </w:r>
      <w:r>
        <w:rPr>
          <w:rFonts w:hint="eastAsia" w:ascii="仿宋" w:hAnsi="仿宋" w:eastAsia="仿宋"/>
          <w:sz w:val="28"/>
        </w:rPr>
        <w:t>、根据学校要求参加英语等级、期末等考试，因私不参加监考，每次扣0.5分。</w:t>
      </w:r>
    </w:p>
    <w:p w14:paraId="6CDB7C4A">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4</w:t>
      </w:r>
      <w:r>
        <w:rPr>
          <w:rFonts w:hint="eastAsia" w:ascii="仿宋" w:hAnsi="仿宋" w:eastAsia="仿宋"/>
          <w:sz w:val="28"/>
        </w:rPr>
        <w:t>、期中、期末试卷出现质量问题，近三年试卷雷同50%，取消本学期评优资格。</w:t>
      </w:r>
    </w:p>
    <w:p w14:paraId="71662B69">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5</w:t>
      </w:r>
      <w:r>
        <w:rPr>
          <w:rFonts w:hint="eastAsia" w:ascii="仿宋" w:hAnsi="仿宋" w:eastAsia="仿宋"/>
          <w:sz w:val="28"/>
        </w:rPr>
        <w:t>、出现教学事故或学生投诉，取消本学期评优资格。</w:t>
      </w:r>
    </w:p>
    <w:p w14:paraId="4BD7532A">
      <w:pPr>
        <w:adjustRightInd w:val="0"/>
        <w:snapToGrid w:val="0"/>
        <w:spacing w:line="360" w:lineRule="auto"/>
        <w:ind w:firstLine="560" w:firstLineChars="200"/>
        <w:rPr>
          <w:rFonts w:hint="default" w:ascii="仿宋" w:hAnsi="仿宋" w:eastAsia="仿宋"/>
          <w:sz w:val="28"/>
          <w:lang w:val="en-US" w:eastAsia="zh-CN"/>
        </w:rPr>
      </w:pPr>
      <w:r>
        <w:rPr>
          <w:rFonts w:hint="eastAsia" w:ascii="仿宋" w:hAnsi="仿宋" w:eastAsia="仿宋"/>
          <w:sz w:val="28"/>
          <w:lang w:val="en-US" w:eastAsia="zh-CN"/>
        </w:rPr>
        <w:t>二、教学业绩</w:t>
      </w:r>
    </w:p>
    <w:p w14:paraId="5AE83092">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1</w:t>
      </w:r>
      <w:r>
        <w:rPr>
          <w:rFonts w:hint="eastAsia" w:ascii="仿宋" w:hAnsi="仿宋" w:eastAsia="仿宋"/>
          <w:sz w:val="28"/>
        </w:rPr>
        <w:t>、教研活动评比中，一等奖教研室全体老师</w:t>
      </w:r>
      <w:r>
        <w:rPr>
          <w:rFonts w:hint="eastAsia" w:ascii="仿宋" w:hAnsi="仿宋" w:eastAsia="仿宋"/>
          <w:sz w:val="28"/>
          <w:lang w:val="en-US" w:eastAsia="zh-CN"/>
        </w:rPr>
        <w:t>每人</w:t>
      </w:r>
      <w:r>
        <w:rPr>
          <w:rFonts w:hint="eastAsia" w:ascii="仿宋" w:hAnsi="仿宋" w:eastAsia="仿宋"/>
          <w:sz w:val="28"/>
        </w:rPr>
        <w:t>加</w:t>
      </w:r>
      <w:r>
        <w:rPr>
          <w:rFonts w:hint="eastAsia" w:ascii="仿宋" w:hAnsi="仿宋" w:eastAsia="仿宋"/>
          <w:sz w:val="28"/>
          <w:lang w:val="en-US" w:eastAsia="zh-CN"/>
        </w:rPr>
        <w:t>5</w:t>
      </w:r>
      <w:r>
        <w:rPr>
          <w:rFonts w:hint="eastAsia" w:ascii="仿宋" w:hAnsi="仿宋" w:eastAsia="仿宋"/>
          <w:sz w:val="28"/>
        </w:rPr>
        <w:t>分，二等奖加</w:t>
      </w:r>
      <w:r>
        <w:rPr>
          <w:rFonts w:hint="eastAsia" w:ascii="仿宋" w:hAnsi="仿宋" w:eastAsia="仿宋"/>
          <w:sz w:val="28"/>
          <w:lang w:val="en-US" w:eastAsia="zh-CN"/>
        </w:rPr>
        <w:t>3</w:t>
      </w:r>
      <w:r>
        <w:rPr>
          <w:rFonts w:hint="eastAsia" w:ascii="仿宋" w:hAnsi="仿宋" w:eastAsia="仿宋"/>
          <w:sz w:val="28"/>
        </w:rPr>
        <w:t>分，三等奖加1分，未获等第不加分。</w:t>
      </w:r>
    </w:p>
    <w:p w14:paraId="20F95906">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2</w:t>
      </w:r>
      <w:r>
        <w:rPr>
          <w:rFonts w:hint="eastAsia" w:ascii="仿宋" w:hAnsi="仿宋" w:eastAsia="仿宋"/>
          <w:sz w:val="28"/>
        </w:rPr>
        <w:t>、本人参加教学基本功竞赛、信息化、微课等比赛中，国家级一等奖</w:t>
      </w:r>
      <w:r>
        <w:rPr>
          <w:rFonts w:hint="eastAsia" w:ascii="仿宋" w:hAnsi="仿宋" w:eastAsia="仿宋"/>
          <w:sz w:val="28"/>
          <w:lang w:val="en-US" w:eastAsia="zh-CN"/>
        </w:rPr>
        <w:t>3</w:t>
      </w:r>
      <w:r>
        <w:rPr>
          <w:rFonts w:hint="eastAsia" w:ascii="仿宋" w:hAnsi="仿宋" w:eastAsia="仿宋"/>
          <w:sz w:val="28"/>
        </w:rPr>
        <w:t>0分，二等奖</w:t>
      </w:r>
      <w:r>
        <w:rPr>
          <w:rFonts w:hint="eastAsia" w:ascii="仿宋" w:hAnsi="仿宋" w:eastAsia="仿宋"/>
          <w:sz w:val="28"/>
          <w:lang w:val="en-US" w:eastAsia="zh-CN"/>
        </w:rPr>
        <w:t>20</w:t>
      </w:r>
      <w:r>
        <w:rPr>
          <w:rFonts w:hint="eastAsia" w:ascii="仿宋" w:hAnsi="仿宋" w:eastAsia="仿宋"/>
          <w:sz w:val="28"/>
        </w:rPr>
        <w:t>分，三等奖</w:t>
      </w:r>
      <w:r>
        <w:rPr>
          <w:rFonts w:hint="eastAsia" w:ascii="仿宋" w:hAnsi="仿宋" w:eastAsia="仿宋"/>
          <w:sz w:val="28"/>
          <w:lang w:val="en-US" w:eastAsia="zh-CN"/>
        </w:rPr>
        <w:t>15</w:t>
      </w:r>
      <w:r>
        <w:rPr>
          <w:rFonts w:hint="eastAsia" w:ascii="仿宋" w:hAnsi="仿宋" w:eastAsia="仿宋"/>
          <w:sz w:val="28"/>
        </w:rPr>
        <w:t>分；省级一等奖</w:t>
      </w:r>
      <w:r>
        <w:rPr>
          <w:rFonts w:hint="eastAsia" w:ascii="仿宋" w:hAnsi="仿宋" w:eastAsia="仿宋"/>
          <w:sz w:val="28"/>
          <w:lang w:val="en-US" w:eastAsia="zh-CN"/>
        </w:rPr>
        <w:t>10</w:t>
      </w:r>
      <w:r>
        <w:rPr>
          <w:rFonts w:hint="eastAsia" w:ascii="仿宋" w:hAnsi="仿宋" w:eastAsia="仿宋"/>
          <w:sz w:val="28"/>
        </w:rPr>
        <w:t>分，二等奖</w:t>
      </w:r>
      <w:r>
        <w:rPr>
          <w:rFonts w:hint="eastAsia" w:ascii="仿宋" w:hAnsi="仿宋" w:eastAsia="仿宋"/>
          <w:sz w:val="28"/>
          <w:lang w:val="en-US" w:eastAsia="zh-CN"/>
        </w:rPr>
        <w:t>7</w:t>
      </w:r>
      <w:r>
        <w:rPr>
          <w:rFonts w:hint="eastAsia" w:ascii="仿宋" w:hAnsi="仿宋" w:eastAsia="仿宋"/>
          <w:sz w:val="28"/>
        </w:rPr>
        <w:t>分，三等奖</w:t>
      </w:r>
      <w:r>
        <w:rPr>
          <w:rFonts w:hint="eastAsia" w:ascii="仿宋" w:hAnsi="仿宋" w:eastAsia="仿宋"/>
          <w:sz w:val="28"/>
          <w:lang w:val="en-US" w:eastAsia="zh-CN"/>
        </w:rPr>
        <w:t>5</w:t>
      </w:r>
      <w:r>
        <w:rPr>
          <w:rFonts w:hint="eastAsia" w:ascii="仿宋" w:hAnsi="仿宋" w:eastAsia="仿宋"/>
          <w:sz w:val="28"/>
        </w:rPr>
        <w:t>分；市级一等奖4分，二等奖3分，三等奖2分；校级一等奖2.5分，二等奖1.5分，三等奖1分，参与未获奖0.5分。</w:t>
      </w:r>
    </w:p>
    <w:p w14:paraId="4EF95CE8">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3</w:t>
      </w:r>
      <w:r>
        <w:rPr>
          <w:rFonts w:hint="eastAsia" w:ascii="仿宋" w:hAnsi="仿宋" w:eastAsia="仿宋"/>
          <w:sz w:val="28"/>
        </w:rPr>
        <w:t>、指导学生参加专业技能竞赛，比赛性质按学校文件执行（行职委、</w:t>
      </w:r>
      <w:r>
        <w:rPr>
          <w:rFonts w:hint="eastAsia" w:ascii="仿宋" w:hAnsi="仿宋" w:eastAsia="仿宋"/>
          <w:sz w:val="28"/>
          <w:lang w:val="en-US" w:eastAsia="zh-CN"/>
        </w:rPr>
        <w:t>江苏工匠类</w:t>
      </w:r>
      <w:r>
        <w:rPr>
          <w:rFonts w:hint="eastAsia" w:ascii="仿宋" w:hAnsi="仿宋" w:eastAsia="仿宋"/>
          <w:sz w:val="28"/>
          <w:lang w:eastAsia="zh-CN"/>
        </w:rPr>
        <w:t>、</w:t>
      </w:r>
      <w:r>
        <w:rPr>
          <w:rFonts w:hint="eastAsia" w:ascii="仿宋" w:hAnsi="仿宋" w:eastAsia="仿宋"/>
          <w:sz w:val="28"/>
        </w:rPr>
        <w:t>协会类比赛），同一比赛只加一次，就高不就低。国家级一等奖</w:t>
      </w:r>
      <w:r>
        <w:rPr>
          <w:rFonts w:hint="eastAsia" w:ascii="仿宋" w:hAnsi="仿宋" w:eastAsia="仿宋"/>
          <w:sz w:val="28"/>
          <w:lang w:val="en-US" w:eastAsia="zh-CN"/>
        </w:rPr>
        <w:t>3</w:t>
      </w:r>
      <w:r>
        <w:rPr>
          <w:rFonts w:hint="eastAsia" w:ascii="仿宋" w:hAnsi="仿宋" w:eastAsia="仿宋"/>
          <w:sz w:val="28"/>
        </w:rPr>
        <w:t>0分，二等奖</w:t>
      </w:r>
      <w:r>
        <w:rPr>
          <w:rFonts w:hint="eastAsia" w:ascii="仿宋" w:hAnsi="仿宋" w:eastAsia="仿宋"/>
          <w:sz w:val="28"/>
          <w:lang w:val="en-US" w:eastAsia="zh-CN"/>
        </w:rPr>
        <w:t>20</w:t>
      </w:r>
      <w:r>
        <w:rPr>
          <w:rFonts w:hint="eastAsia" w:ascii="仿宋" w:hAnsi="仿宋" w:eastAsia="仿宋"/>
          <w:sz w:val="28"/>
        </w:rPr>
        <w:t>分，三等奖</w:t>
      </w:r>
      <w:r>
        <w:rPr>
          <w:rFonts w:hint="eastAsia" w:ascii="仿宋" w:hAnsi="仿宋" w:eastAsia="仿宋"/>
          <w:sz w:val="28"/>
          <w:lang w:val="en-US" w:eastAsia="zh-CN"/>
        </w:rPr>
        <w:t>15</w:t>
      </w:r>
      <w:r>
        <w:rPr>
          <w:rFonts w:hint="eastAsia" w:ascii="仿宋" w:hAnsi="仿宋" w:eastAsia="仿宋"/>
          <w:sz w:val="28"/>
        </w:rPr>
        <w:t>分；省级一等奖</w:t>
      </w:r>
      <w:r>
        <w:rPr>
          <w:rFonts w:hint="eastAsia" w:ascii="仿宋" w:hAnsi="仿宋" w:eastAsia="仿宋"/>
          <w:sz w:val="28"/>
          <w:lang w:val="en-US" w:eastAsia="zh-CN"/>
        </w:rPr>
        <w:t>10</w:t>
      </w:r>
      <w:r>
        <w:rPr>
          <w:rFonts w:hint="eastAsia" w:ascii="仿宋" w:hAnsi="仿宋" w:eastAsia="仿宋"/>
          <w:sz w:val="28"/>
        </w:rPr>
        <w:t>分，二等奖</w:t>
      </w:r>
      <w:r>
        <w:rPr>
          <w:rFonts w:hint="eastAsia" w:ascii="仿宋" w:hAnsi="仿宋" w:eastAsia="仿宋"/>
          <w:sz w:val="28"/>
          <w:lang w:val="en-US" w:eastAsia="zh-CN"/>
        </w:rPr>
        <w:t>7</w:t>
      </w:r>
      <w:r>
        <w:rPr>
          <w:rFonts w:hint="eastAsia" w:ascii="仿宋" w:hAnsi="仿宋" w:eastAsia="仿宋"/>
          <w:sz w:val="28"/>
        </w:rPr>
        <w:t>分，三等奖</w:t>
      </w:r>
      <w:r>
        <w:rPr>
          <w:rFonts w:hint="eastAsia" w:ascii="仿宋" w:hAnsi="仿宋" w:eastAsia="仿宋"/>
          <w:sz w:val="28"/>
          <w:lang w:val="en-US" w:eastAsia="zh-CN"/>
        </w:rPr>
        <w:t>5</w:t>
      </w:r>
      <w:r>
        <w:rPr>
          <w:rFonts w:hint="eastAsia" w:ascii="仿宋" w:hAnsi="仿宋" w:eastAsia="仿宋"/>
          <w:sz w:val="28"/>
        </w:rPr>
        <w:t xml:space="preserve">分；市级一等奖4分，二等奖3分，三等奖2分，参与未获奖0.5分。 </w:t>
      </w:r>
    </w:p>
    <w:p w14:paraId="55369238">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4</w:t>
      </w:r>
      <w:r>
        <w:rPr>
          <w:rFonts w:hint="eastAsia" w:ascii="仿宋" w:hAnsi="仿宋" w:eastAsia="仿宋"/>
          <w:sz w:val="28"/>
        </w:rPr>
        <w:t>、指导学生毕业设计，省级一等奖</w:t>
      </w:r>
      <w:r>
        <w:rPr>
          <w:rFonts w:hint="eastAsia" w:ascii="仿宋" w:hAnsi="仿宋" w:eastAsia="仿宋"/>
          <w:sz w:val="28"/>
          <w:lang w:val="en-US" w:eastAsia="zh-CN"/>
        </w:rPr>
        <w:t>10</w:t>
      </w:r>
      <w:r>
        <w:rPr>
          <w:rFonts w:hint="eastAsia" w:ascii="仿宋" w:hAnsi="仿宋" w:eastAsia="仿宋"/>
          <w:sz w:val="28"/>
        </w:rPr>
        <w:t>分，二等奖</w:t>
      </w:r>
      <w:r>
        <w:rPr>
          <w:rFonts w:hint="eastAsia" w:ascii="仿宋" w:hAnsi="仿宋" w:eastAsia="仿宋"/>
          <w:sz w:val="28"/>
          <w:lang w:val="en-US" w:eastAsia="zh-CN"/>
        </w:rPr>
        <w:t>7</w:t>
      </w:r>
      <w:r>
        <w:rPr>
          <w:rFonts w:hint="eastAsia" w:ascii="仿宋" w:hAnsi="仿宋" w:eastAsia="仿宋"/>
          <w:sz w:val="28"/>
        </w:rPr>
        <w:t>分，三等奖</w:t>
      </w:r>
      <w:r>
        <w:rPr>
          <w:rFonts w:hint="eastAsia" w:ascii="仿宋" w:hAnsi="仿宋" w:eastAsia="仿宋"/>
          <w:sz w:val="28"/>
          <w:lang w:val="en-US" w:eastAsia="zh-CN"/>
        </w:rPr>
        <w:t>5</w:t>
      </w:r>
      <w:r>
        <w:rPr>
          <w:rFonts w:hint="eastAsia" w:ascii="仿宋" w:hAnsi="仿宋" w:eastAsia="仿宋"/>
          <w:sz w:val="28"/>
        </w:rPr>
        <w:t>分；校级一等奖2.5分，二等奖1.5分，三等奖1分，参与未获奖0.5分。团队获奖参与人员所占比例自行商议分配。</w:t>
      </w:r>
    </w:p>
    <w:p w14:paraId="6AF7DBB3">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5</w:t>
      </w:r>
      <w:r>
        <w:rPr>
          <w:rFonts w:hint="eastAsia" w:ascii="仿宋" w:hAnsi="仿宋" w:eastAsia="仿宋"/>
          <w:sz w:val="28"/>
        </w:rPr>
        <w:t>、指导学生立项创新创业训练计划，省级立项创业实践类3分，创业训练类2分，创新训练类1.5分；校级立项1分，参与未立项0.5分。</w:t>
      </w:r>
    </w:p>
    <w:p w14:paraId="3A398264">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6</w:t>
      </w:r>
      <w:r>
        <w:rPr>
          <w:rFonts w:hint="eastAsia" w:ascii="仿宋" w:hAnsi="仿宋" w:eastAsia="仿宋"/>
          <w:sz w:val="28"/>
        </w:rPr>
        <w:t>、参与学院申报的教学类项目，省级立项</w:t>
      </w:r>
      <w:r>
        <w:rPr>
          <w:rFonts w:hint="eastAsia" w:ascii="仿宋" w:hAnsi="仿宋" w:eastAsia="仿宋"/>
          <w:sz w:val="28"/>
          <w:lang w:val="en-US" w:eastAsia="zh-CN"/>
        </w:rPr>
        <w:t>10</w:t>
      </w:r>
      <w:r>
        <w:rPr>
          <w:rFonts w:hint="eastAsia" w:ascii="仿宋" w:hAnsi="仿宋" w:eastAsia="仿宋"/>
          <w:sz w:val="28"/>
        </w:rPr>
        <w:t>分，市级立项</w:t>
      </w:r>
      <w:r>
        <w:rPr>
          <w:rFonts w:hint="eastAsia" w:ascii="仿宋" w:hAnsi="仿宋" w:eastAsia="仿宋"/>
          <w:sz w:val="28"/>
          <w:lang w:val="en-US" w:eastAsia="zh-CN"/>
        </w:rPr>
        <w:t>5</w:t>
      </w:r>
      <w:r>
        <w:rPr>
          <w:rFonts w:hint="eastAsia" w:ascii="仿宋" w:hAnsi="仿宋" w:eastAsia="仿宋"/>
          <w:sz w:val="28"/>
        </w:rPr>
        <w:t>分，校级立项</w:t>
      </w:r>
      <w:r>
        <w:rPr>
          <w:rFonts w:hint="eastAsia" w:ascii="仿宋" w:hAnsi="仿宋" w:eastAsia="仿宋"/>
          <w:sz w:val="28"/>
          <w:lang w:val="en-US" w:eastAsia="zh-CN"/>
        </w:rPr>
        <w:t>2</w:t>
      </w:r>
      <w:r>
        <w:rPr>
          <w:rFonts w:hint="eastAsia" w:ascii="仿宋" w:hAnsi="仿宋" w:eastAsia="仿宋"/>
          <w:sz w:val="28"/>
        </w:rPr>
        <w:t>分，未立项成功加0.5分，参与人员所占比例由主持人自行分配。</w:t>
      </w:r>
    </w:p>
    <w:p w14:paraId="2D63A8FC">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lang w:val="en-US" w:eastAsia="zh-CN"/>
        </w:rPr>
        <w:t>7</w:t>
      </w:r>
      <w:r>
        <w:rPr>
          <w:rFonts w:hint="eastAsia" w:ascii="仿宋" w:hAnsi="仿宋" w:eastAsia="仿宋"/>
          <w:sz w:val="28"/>
        </w:rPr>
        <w:t>、由教务处组织申报的上述未列入课题、奖项等质量工程，</w:t>
      </w:r>
      <w:r>
        <w:rPr>
          <w:rFonts w:hint="eastAsia" w:ascii="仿宋" w:hAnsi="仿宋" w:eastAsia="仿宋"/>
          <w:sz w:val="28"/>
          <w:lang w:val="en-US" w:eastAsia="zh-CN"/>
        </w:rPr>
        <w:t>国家级立项20分，</w:t>
      </w:r>
      <w:r>
        <w:rPr>
          <w:rFonts w:hint="eastAsia" w:ascii="仿宋" w:hAnsi="仿宋" w:eastAsia="仿宋"/>
          <w:sz w:val="28"/>
        </w:rPr>
        <w:t>省级立项</w:t>
      </w:r>
      <w:r>
        <w:rPr>
          <w:rFonts w:hint="eastAsia" w:ascii="仿宋" w:hAnsi="仿宋" w:eastAsia="仿宋"/>
          <w:sz w:val="28"/>
          <w:lang w:val="en-US" w:eastAsia="zh-CN"/>
        </w:rPr>
        <w:t>10</w:t>
      </w:r>
      <w:r>
        <w:rPr>
          <w:rFonts w:hint="eastAsia" w:ascii="仿宋" w:hAnsi="仿宋" w:eastAsia="仿宋"/>
          <w:sz w:val="28"/>
        </w:rPr>
        <w:t>分，市级立项</w:t>
      </w:r>
      <w:r>
        <w:rPr>
          <w:rFonts w:hint="eastAsia" w:ascii="仿宋" w:hAnsi="仿宋" w:eastAsia="仿宋"/>
          <w:sz w:val="28"/>
          <w:lang w:val="en-US" w:eastAsia="zh-CN"/>
        </w:rPr>
        <w:t>5</w:t>
      </w:r>
      <w:r>
        <w:rPr>
          <w:rFonts w:hint="eastAsia" w:ascii="仿宋" w:hAnsi="仿宋" w:eastAsia="仿宋"/>
          <w:sz w:val="28"/>
        </w:rPr>
        <w:t>分，校级立项</w:t>
      </w:r>
      <w:r>
        <w:rPr>
          <w:rFonts w:hint="eastAsia" w:ascii="仿宋" w:hAnsi="仿宋" w:eastAsia="仿宋"/>
          <w:sz w:val="28"/>
          <w:lang w:val="en-US" w:eastAsia="zh-CN"/>
        </w:rPr>
        <w:t>2</w:t>
      </w:r>
      <w:r>
        <w:rPr>
          <w:rFonts w:hint="eastAsia" w:ascii="仿宋" w:hAnsi="仿宋" w:eastAsia="仿宋"/>
          <w:sz w:val="28"/>
        </w:rPr>
        <w:t>分，未立项成功加0.5分，参与人员所占比例由主持人自行分配。</w:t>
      </w:r>
    </w:p>
    <w:p w14:paraId="0D1CAD7E">
      <w:pPr>
        <w:adjustRightInd w:val="0"/>
        <w:snapToGrid w:val="0"/>
        <w:spacing w:line="360" w:lineRule="auto"/>
        <w:ind w:firstLine="560" w:firstLineChars="200"/>
        <w:rPr>
          <w:rFonts w:hint="eastAsia" w:ascii="仿宋" w:hAnsi="仿宋" w:eastAsia="仿宋"/>
          <w:sz w:val="28"/>
        </w:rPr>
      </w:pPr>
      <w:r>
        <w:rPr>
          <w:rFonts w:hint="eastAsia" w:ascii="仿宋" w:hAnsi="仿宋" w:eastAsia="仿宋"/>
          <w:sz w:val="28"/>
        </w:rPr>
        <w:t>根据以上条例核算出学院考核分，按照学校要求比例核算出每一位专任教师的总分，按照3:4:3排序得出优秀、良好、合格三类。</w:t>
      </w:r>
    </w:p>
    <w:p w14:paraId="3C5B7FE8">
      <w:pPr>
        <w:adjustRightInd w:val="0"/>
        <w:snapToGrid w:val="0"/>
        <w:spacing w:line="360" w:lineRule="auto"/>
        <w:ind w:firstLine="562" w:firstLineChars="200"/>
        <w:rPr>
          <w:rFonts w:hint="eastAsia" w:ascii="仿宋" w:hAnsi="仿宋" w:eastAsia="仿宋"/>
          <w:b/>
          <w:bCs/>
          <w:sz w:val="28"/>
          <w:lang w:val="en-US" w:eastAsia="zh-CN"/>
        </w:rPr>
      </w:pPr>
      <w:r>
        <w:rPr>
          <w:rFonts w:hint="eastAsia" w:ascii="仿宋" w:hAnsi="仿宋" w:eastAsia="仿宋"/>
          <w:b/>
          <w:bCs/>
          <w:sz w:val="28"/>
          <w:lang w:val="en-US" w:eastAsia="zh-CN"/>
        </w:rPr>
        <w:t>备注：</w:t>
      </w:r>
    </w:p>
    <w:p w14:paraId="76077B7B">
      <w:pPr>
        <w:numPr>
          <w:ilvl w:val="0"/>
          <w:numId w:val="1"/>
        </w:numPr>
        <w:adjustRightInd w:val="0"/>
        <w:snapToGrid w:val="0"/>
        <w:spacing w:line="360" w:lineRule="auto"/>
        <w:ind w:firstLine="560" w:firstLineChars="200"/>
        <w:rPr>
          <w:rFonts w:hint="eastAsia" w:ascii="仿宋" w:hAnsi="仿宋" w:eastAsia="仿宋"/>
          <w:sz w:val="28"/>
          <w:lang w:val="en-US" w:eastAsia="zh-CN"/>
        </w:rPr>
      </w:pPr>
      <w:r>
        <w:rPr>
          <w:rFonts w:hint="eastAsia" w:ascii="仿宋" w:hAnsi="仿宋" w:eastAsia="仿宋"/>
          <w:sz w:val="28"/>
          <w:lang w:val="en-US" w:eastAsia="zh-CN"/>
        </w:rPr>
        <w:t>列入学校一类赛事（包含：学生技能大赛、创新创业大赛）省一等奖及以上者直接认定一个学期教学质量考核优秀。</w:t>
      </w:r>
    </w:p>
    <w:p w14:paraId="4D345DFD">
      <w:pPr>
        <w:numPr>
          <w:ilvl w:val="0"/>
          <w:numId w:val="1"/>
        </w:numPr>
        <w:adjustRightInd w:val="0"/>
        <w:snapToGrid w:val="0"/>
        <w:spacing w:line="360" w:lineRule="auto"/>
        <w:ind w:firstLine="560" w:firstLineChars="200"/>
        <w:rPr>
          <w:rFonts w:hint="eastAsia" w:ascii="仿宋" w:hAnsi="仿宋" w:eastAsia="仿宋"/>
          <w:sz w:val="28"/>
          <w:lang w:val="en-US" w:eastAsia="zh-CN"/>
        </w:rPr>
      </w:pPr>
      <w:r>
        <w:rPr>
          <w:rFonts w:hint="eastAsia" w:ascii="仿宋" w:hAnsi="仿宋" w:eastAsia="仿宋"/>
          <w:sz w:val="28"/>
          <w:lang w:val="en-US" w:eastAsia="zh-CN"/>
        </w:rPr>
        <w:t>荣获江苏省教师教学能力大赛二等奖及以上者直接认定一个学期教学质量考核优秀。</w:t>
      </w:r>
    </w:p>
    <w:p w14:paraId="0840A903">
      <w:pPr>
        <w:numPr>
          <w:ilvl w:val="0"/>
          <w:numId w:val="1"/>
        </w:numPr>
        <w:adjustRightInd w:val="0"/>
        <w:snapToGrid w:val="0"/>
        <w:spacing w:line="360" w:lineRule="auto"/>
        <w:ind w:firstLine="560" w:firstLineChars="200"/>
        <w:rPr>
          <w:rFonts w:hint="eastAsia" w:ascii="仿宋" w:hAnsi="仿宋" w:eastAsia="仿宋"/>
          <w:sz w:val="28"/>
          <w:lang w:val="en-US" w:eastAsia="zh-CN"/>
        </w:rPr>
      </w:pPr>
      <w:r>
        <w:rPr>
          <w:rFonts w:hint="eastAsia" w:ascii="仿宋" w:hAnsi="仿宋" w:eastAsia="仿宋"/>
          <w:sz w:val="28"/>
          <w:lang w:val="en-US" w:eastAsia="zh-CN"/>
        </w:rPr>
        <w:t>荣获江苏省教学成果奖二等奖(排名前三)及以上者直接认定一个学期教学质量考核优秀。</w:t>
      </w:r>
    </w:p>
    <w:p w14:paraId="09A81E6C">
      <w:pPr>
        <w:numPr>
          <w:ilvl w:val="0"/>
          <w:numId w:val="1"/>
        </w:numPr>
        <w:adjustRightInd w:val="0"/>
        <w:snapToGrid w:val="0"/>
        <w:spacing w:line="360" w:lineRule="auto"/>
        <w:ind w:firstLine="560" w:firstLineChars="200"/>
        <w:rPr>
          <w:rFonts w:hint="default" w:ascii="仿宋" w:hAnsi="仿宋" w:eastAsia="仿宋"/>
          <w:sz w:val="28"/>
          <w:lang w:val="en-US" w:eastAsia="zh-CN"/>
        </w:rPr>
      </w:pPr>
      <w:r>
        <w:rPr>
          <w:rFonts w:hint="eastAsia" w:ascii="仿宋" w:hAnsi="仿宋" w:eastAsia="仿宋"/>
          <w:sz w:val="28"/>
          <w:lang w:val="en-US" w:eastAsia="zh-CN"/>
        </w:rPr>
        <w:t>教学业绩加分项按最高分折合10分，依此类推。</w:t>
      </w:r>
    </w:p>
    <w:p w14:paraId="721272B4">
      <w:pPr>
        <w:numPr>
          <w:ilvl w:val="0"/>
          <w:numId w:val="1"/>
        </w:numPr>
        <w:adjustRightInd w:val="0"/>
        <w:snapToGrid w:val="0"/>
        <w:spacing w:line="360" w:lineRule="auto"/>
        <w:ind w:firstLine="560" w:firstLineChars="200"/>
        <w:rPr>
          <w:rFonts w:hint="default" w:ascii="仿宋" w:hAnsi="仿宋" w:eastAsia="仿宋"/>
          <w:sz w:val="28"/>
          <w:lang w:val="en-US" w:eastAsia="zh-CN"/>
        </w:rPr>
      </w:pPr>
      <w:r>
        <w:rPr>
          <w:rFonts w:hint="eastAsia" w:ascii="仿宋" w:hAnsi="仿宋" w:eastAsia="仿宋"/>
          <w:sz w:val="28"/>
          <w:lang w:val="en-US" w:eastAsia="zh-CN"/>
        </w:rPr>
        <w:t>根据教务处统一要求，行指委、协会类、工匠类等比赛降低二个层次，非一类赛项就高算二项。</w:t>
      </w:r>
    </w:p>
    <w:p w14:paraId="671303B1">
      <w:pPr>
        <w:adjustRightInd w:val="0"/>
        <w:snapToGrid w:val="0"/>
        <w:spacing w:line="360" w:lineRule="auto"/>
        <w:ind w:firstLine="560" w:firstLineChars="200"/>
        <w:rPr>
          <w:rFonts w:hint="default" w:ascii="仿宋" w:hAnsi="仿宋" w:eastAsia="仿宋"/>
          <w:sz w:val="28"/>
          <w:lang w:val="en-US" w:eastAsia="zh-CN"/>
        </w:rPr>
      </w:pPr>
      <w:r>
        <w:rPr>
          <w:rFonts w:hint="eastAsia" w:ascii="仿宋" w:hAnsi="仿宋" w:eastAsia="仿宋"/>
          <w:sz w:val="28"/>
          <w:lang w:val="en-US" w:eastAsia="zh-CN"/>
        </w:rPr>
        <w:t>6、上述各类项目归口教务处。</w:t>
      </w:r>
    </w:p>
    <w:p w14:paraId="5B034BE5">
      <w:pPr>
        <w:numPr>
          <w:ilvl w:val="0"/>
          <w:numId w:val="0"/>
        </w:numPr>
        <w:adjustRightInd w:val="0"/>
        <w:snapToGrid w:val="0"/>
        <w:spacing w:line="360" w:lineRule="auto"/>
        <w:rPr>
          <w:rFonts w:hint="default" w:ascii="仿宋" w:hAnsi="仿宋" w:eastAsia="仿宋"/>
          <w:sz w:val="28"/>
          <w:lang w:val="en-US" w:eastAsia="zh-CN"/>
        </w:rPr>
      </w:pPr>
    </w:p>
    <w:p w14:paraId="1CCC3184">
      <w:pPr>
        <w:numPr>
          <w:ilvl w:val="0"/>
          <w:numId w:val="0"/>
        </w:numPr>
        <w:adjustRightInd w:val="0"/>
        <w:snapToGrid w:val="0"/>
        <w:spacing w:line="360" w:lineRule="auto"/>
        <w:rPr>
          <w:rFonts w:hint="eastAsia" w:ascii="仿宋" w:hAnsi="仿宋" w:eastAsia="仿宋"/>
          <w:sz w:val="28"/>
          <w:lang w:val="en-US" w:eastAsia="zh-CN"/>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3693160</wp:posOffset>
            </wp:positionH>
            <wp:positionV relativeFrom="paragraph">
              <wp:posOffset>243840</wp:posOffset>
            </wp:positionV>
            <wp:extent cx="1333500" cy="1333500"/>
            <wp:effectExtent l="0" t="0" r="0" b="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333500" cy="1333500"/>
                    </a:xfrm>
                    <a:prstGeom prst="rect">
                      <a:avLst/>
                    </a:prstGeom>
                    <a:noFill/>
                    <a:ln w="9525">
                      <a:noFill/>
                    </a:ln>
                  </pic:spPr>
                </pic:pic>
              </a:graphicData>
            </a:graphic>
          </wp:anchor>
        </w:drawing>
      </w:r>
    </w:p>
    <w:p w14:paraId="3D5650F2">
      <w:pPr>
        <w:adjustRightInd w:val="0"/>
        <w:snapToGrid w:val="0"/>
        <w:spacing w:line="360" w:lineRule="auto"/>
        <w:rPr>
          <w:rFonts w:hint="eastAsia" w:ascii="仿宋" w:hAnsi="仿宋" w:eastAsia="仿宋"/>
          <w:sz w:val="28"/>
        </w:rPr>
      </w:pPr>
    </w:p>
    <w:p w14:paraId="312734AF">
      <w:pPr>
        <w:adjustRightInd w:val="0"/>
        <w:snapToGrid w:val="0"/>
        <w:spacing w:line="360" w:lineRule="auto"/>
        <w:ind w:left="420"/>
        <w:jc w:val="right"/>
        <w:rPr>
          <w:rFonts w:hint="eastAsia" w:ascii="仿宋" w:hAnsi="仿宋" w:eastAsia="仿宋"/>
          <w:sz w:val="28"/>
        </w:rPr>
      </w:pPr>
      <w:r>
        <w:rPr>
          <w:rFonts w:hint="eastAsia" w:ascii="仿宋" w:hAnsi="仿宋" w:eastAsia="仿宋"/>
          <w:sz w:val="28"/>
        </w:rPr>
        <w:t xml:space="preserve">                                   工商管理学院</w:t>
      </w:r>
    </w:p>
    <w:p w14:paraId="03D6FFD5">
      <w:pPr>
        <w:adjustRightInd w:val="0"/>
        <w:snapToGrid w:val="0"/>
        <w:spacing w:line="360" w:lineRule="auto"/>
        <w:ind w:left="420"/>
        <w:jc w:val="right"/>
        <w:rPr>
          <w:rFonts w:hint="default" w:ascii="仿宋" w:hAnsi="仿宋" w:eastAsia="仿宋"/>
          <w:sz w:val="28"/>
          <w:lang w:val="en-US" w:eastAsia="zh-CN"/>
        </w:rPr>
      </w:pPr>
      <w:r>
        <w:rPr>
          <w:rFonts w:hint="eastAsia" w:ascii="仿宋" w:hAnsi="仿宋" w:eastAsia="仿宋"/>
          <w:sz w:val="28"/>
          <w:lang w:val="en-US" w:eastAsia="zh-CN"/>
        </w:rPr>
        <w:t>2024年</w:t>
      </w:r>
      <w:bookmarkStart w:id="0" w:name="_GoBack"/>
      <w:bookmarkEnd w:id="0"/>
      <w:r>
        <w:rPr>
          <w:rFonts w:hint="eastAsia" w:ascii="仿宋" w:hAnsi="仿宋" w:eastAsia="仿宋"/>
          <w:sz w:val="28"/>
          <w:lang w:val="en-US" w:eastAsia="zh-CN"/>
        </w:rPr>
        <w:t>6月</w:t>
      </w:r>
    </w:p>
    <w:p w14:paraId="26111D1D">
      <w:pPr>
        <w:adjustRightInd w:val="0"/>
        <w:snapToGrid w:val="0"/>
        <w:spacing w:line="360" w:lineRule="auto"/>
        <w:ind w:left="420"/>
        <w:jc w:val="right"/>
        <w:rPr>
          <w:rFonts w:hint="eastAsia" w:ascii="仿宋" w:hAnsi="仿宋" w:eastAsia="仿宋"/>
          <w:sz w:val="28"/>
        </w:rPr>
      </w:pPr>
      <w:r>
        <w:rPr>
          <w:rFonts w:hint="eastAsia" w:ascii="仿宋" w:hAnsi="仿宋" w:eastAsia="仿宋"/>
          <w:sz w:val="28"/>
        </w:rPr>
        <w:t xml:space="preserve">                                    </w:t>
      </w:r>
    </w:p>
    <w:p w14:paraId="7D8C12F0">
      <w:pPr>
        <w:adjustRightInd w:val="0"/>
        <w:snapToGrid w:val="0"/>
        <w:spacing w:line="360" w:lineRule="auto"/>
        <w:ind w:left="420"/>
        <w:jc w:val="both"/>
        <w:rPr>
          <w:rFonts w:hint="eastAsia" w:ascii="仿宋" w:hAnsi="仿宋" w:eastAsia="仿宋"/>
          <w:sz w:val="28"/>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DF82D3D-9A7E-4D16-AB64-4B6FFA044215}"/>
  </w:font>
  <w:font w:name="方正公文小标宋">
    <w:panose1 w:val="02000500000000000000"/>
    <w:charset w:val="86"/>
    <w:family w:val="auto"/>
    <w:pitch w:val="default"/>
    <w:sig w:usb0="A00002BF" w:usb1="38CF7CFA" w:usb2="00000016" w:usb3="00000000" w:csb0="00040001" w:csb1="00000000"/>
    <w:embedRegular r:id="rId2" w:fontKey="{423C0638-416C-48EB-8C19-8A5A3F3E6E29}"/>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002BFC"/>
    <w:multiLevelType w:val="singleLevel"/>
    <w:tmpl w:val="54002B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ZWE3ZDc2YjRhYzY1OGY0OGY1M2M3OTgxMmU5MDQifQ=="/>
  </w:docVars>
  <w:rsids>
    <w:rsidRoot w:val="00172A27"/>
    <w:rsid w:val="04001E75"/>
    <w:rsid w:val="071D689A"/>
    <w:rsid w:val="0BE31DAD"/>
    <w:rsid w:val="0C116BD0"/>
    <w:rsid w:val="0C5C6E43"/>
    <w:rsid w:val="0CA835B7"/>
    <w:rsid w:val="0D6B035F"/>
    <w:rsid w:val="0D7D0092"/>
    <w:rsid w:val="0F6149B2"/>
    <w:rsid w:val="12575BBC"/>
    <w:rsid w:val="15897F1C"/>
    <w:rsid w:val="168A6775"/>
    <w:rsid w:val="16937E77"/>
    <w:rsid w:val="1A695A91"/>
    <w:rsid w:val="1E2D1660"/>
    <w:rsid w:val="20020FF7"/>
    <w:rsid w:val="22995516"/>
    <w:rsid w:val="2432177F"/>
    <w:rsid w:val="24FE03AF"/>
    <w:rsid w:val="262650A6"/>
    <w:rsid w:val="265720F5"/>
    <w:rsid w:val="2C02385B"/>
    <w:rsid w:val="2D0F410E"/>
    <w:rsid w:val="301B756B"/>
    <w:rsid w:val="325E0599"/>
    <w:rsid w:val="43FB1735"/>
    <w:rsid w:val="44BF6C07"/>
    <w:rsid w:val="45E76323"/>
    <w:rsid w:val="48360B15"/>
    <w:rsid w:val="4E3F2C4E"/>
    <w:rsid w:val="4E710F72"/>
    <w:rsid w:val="531F0B34"/>
    <w:rsid w:val="545729B8"/>
    <w:rsid w:val="547C5F7A"/>
    <w:rsid w:val="550530C5"/>
    <w:rsid w:val="55805F3E"/>
    <w:rsid w:val="56226FF5"/>
    <w:rsid w:val="5E0C65C1"/>
    <w:rsid w:val="60A7492F"/>
    <w:rsid w:val="60EB3A3A"/>
    <w:rsid w:val="62A36DC8"/>
    <w:rsid w:val="75CA7A3A"/>
    <w:rsid w:val="76424E1E"/>
    <w:rsid w:val="7A0B2F80"/>
    <w:rsid w:val="7B332F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1"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qFormat="1" w:uiPriority="99"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99" w:semiHidden="0" w:name="Balloon Text"/>
    <w:lsdException w:qFormat="1" w:unhideWhenUsed="0" w:uiPriority="0" w:semiHidden="0" w:name="Table Grid" w:locked="1"/>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Calibri" w:hAnsi="Calibri" w:eastAsia="宋体" w:cs="Times New Roman"/>
      <w:kern w:val="2"/>
      <w:sz w:val="21"/>
      <w:lang w:val="en-US" w:eastAsia="zh-CN"/>
    </w:rPr>
  </w:style>
  <w:style w:type="paragraph" w:styleId="2">
    <w:name w:val="heading 1"/>
    <w:basedOn w:val="1"/>
    <w:next w:val="1"/>
    <w:qFormat/>
    <w:locked/>
    <w:uiPriority w:val="1"/>
    <w:pPr>
      <w:spacing w:line="771" w:lineRule="exact"/>
      <w:ind w:left="921" w:right="938"/>
      <w:jc w:val="center"/>
      <w:outlineLvl w:val="0"/>
    </w:pPr>
    <w:rPr>
      <w:rFonts w:ascii="微软雅黑" w:hAnsi="微软雅黑" w:eastAsia="微软雅黑" w:cs="微软雅黑"/>
      <w:sz w:val="44"/>
      <w:szCs w:val="44"/>
      <w:lang w:val="en-US" w:eastAsia="en-US" w:bidi="en-US"/>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3">
    <w:name w:val="Balloon Text"/>
    <w:basedOn w:val="1"/>
    <w:link w:val="11"/>
    <w:unhideWhenUsed/>
    <w:qFormat/>
    <w:uiPriority w:val="99"/>
    <w:rPr>
      <w:rFonts w:hint="eastAsia"/>
      <w:sz w:val="18"/>
    </w:rPr>
  </w:style>
  <w:style w:type="paragraph" w:styleId="4">
    <w:name w:val="footer"/>
    <w:basedOn w:val="1"/>
    <w:link w:val="9"/>
    <w:unhideWhenUsed/>
    <w:qFormat/>
    <w:uiPriority w:val="99"/>
    <w:pPr>
      <w:tabs>
        <w:tab w:val="center" w:pos="4153"/>
        <w:tab w:val="right" w:pos="8306"/>
      </w:tabs>
      <w:snapToGrid w:val="0"/>
      <w:jc w:val="left"/>
    </w:pPr>
    <w:rPr>
      <w:rFonts w:hint="eastAsia"/>
      <w:sz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hint="eastAsia"/>
      <w:sz w:val="18"/>
    </w:rPr>
  </w:style>
  <w:style w:type="paragraph" w:styleId="8">
    <w:name w:val="List Paragraph"/>
    <w:basedOn w:val="1"/>
    <w:unhideWhenUsed/>
    <w:qFormat/>
    <w:uiPriority w:val="99"/>
    <w:pPr>
      <w:ind w:firstLine="420" w:firstLineChars="200"/>
    </w:pPr>
    <w:rPr>
      <w:rFonts w:hint="eastAsia"/>
      <w:sz w:val="21"/>
    </w:rPr>
  </w:style>
  <w:style w:type="character" w:customStyle="1" w:styleId="9">
    <w:name w:val="页脚 Char"/>
    <w:basedOn w:val="7"/>
    <w:link w:val="4"/>
    <w:unhideWhenUsed/>
    <w:qFormat/>
    <w:locked/>
    <w:uiPriority w:val="99"/>
    <w:rPr>
      <w:rFonts w:hint="default" w:ascii="Calibri" w:hAnsi="Times New Roman" w:eastAsia="宋体"/>
      <w:sz w:val="18"/>
    </w:rPr>
  </w:style>
  <w:style w:type="character" w:customStyle="1" w:styleId="10">
    <w:name w:val="页眉 Char"/>
    <w:basedOn w:val="7"/>
    <w:link w:val="5"/>
    <w:unhideWhenUsed/>
    <w:qFormat/>
    <w:locked/>
    <w:uiPriority w:val="99"/>
    <w:rPr>
      <w:rFonts w:hint="default" w:ascii="Calibri" w:hAnsi="Times New Roman" w:eastAsia="宋体"/>
      <w:sz w:val="18"/>
    </w:rPr>
  </w:style>
  <w:style w:type="character" w:customStyle="1" w:styleId="11">
    <w:name w:val="批注框文本 Char"/>
    <w:basedOn w:val="7"/>
    <w:link w:val="3"/>
    <w:unhideWhenUsed/>
    <w:qFormat/>
    <w:locked/>
    <w:uiPriority w:val="99"/>
    <w:rPr>
      <w:rFonts w:hint="default" w:ascii="Calibri" w:hAnsi="Times New Roman" w:eastAsia="宋体"/>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1146</Words>
  <Characters>1203</Characters>
  <TotalTime>0</TotalTime>
  <ScaleCrop>false</ScaleCrop>
  <LinksUpToDate>false</LinksUpToDate>
  <CharactersWithSpaces>1276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2023-02-22T08:41:00Z</dcterms:created>
  <dc:creator>86158</dc:creator>
  <cp:lastModifiedBy>微信用户</cp:lastModifiedBy>
  <cp:lastPrinted>2024-09-04T07:11:00Z</cp:lastPrinted>
  <dcterms:modified xsi:type="dcterms:W3CDTF">2024-09-13T08:52:31Z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2EC835F04B0E45809FD54DEF37E76401_13</vt:lpwstr>
  </property>
</Properties>
</file>